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92" w:rsidRDefault="00FA5B79">
      <w:pPr>
        <w:spacing w:after="0" w:line="259" w:lineRule="auto"/>
        <w:ind w:right="8"/>
        <w:jc w:val="center"/>
      </w:pPr>
      <w:r>
        <w:rPr>
          <w:b/>
        </w:rPr>
        <w:t xml:space="preserve">МЕТОДИЧЕСКИЕ РЕКОМЕНДАЦИИ ПО ИНФОРМАЦИОННОМУ </w:t>
      </w:r>
    </w:p>
    <w:p w:rsidR="00534992" w:rsidRDefault="00FA5B79">
      <w:pPr>
        <w:spacing w:after="13" w:line="249" w:lineRule="auto"/>
        <w:ind w:left="752"/>
        <w:jc w:val="left"/>
      </w:pPr>
      <w:r>
        <w:rPr>
          <w:b/>
        </w:rPr>
        <w:t xml:space="preserve">СОПРОВОЖДЕНИЮ СЕРВИСА «ПОСТУПЛЕНИЕ В ВУЗ ОНЛАЙН»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13" w:line="259" w:lineRule="auto"/>
        <w:ind w:left="1481" w:firstLine="0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pStyle w:val="1"/>
        <w:tabs>
          <w:tab w:val="center" w:pos="3407"/>
          <w:tab w:val="center" w:pos="5032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Общие положения </w:t>
      </w:r>
    </w:p>
    <w:p w:rsidR="00534992" w:rsidRDefault="00FA5B79">
      <w:pPr>
        <w:spacing w:after="0" w:line="259" w:lineRule="auto"/>
        <w:ind w:left="334" w:firstLine="0"/>
        <w:jc w:val="center"/>
      </w:pP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283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Информационное сопровождение является неотъемлемой частью деятельности государственных образовательных и научных организаций. </w:t>
      </w:r>
    </w:p>
    <w:p w:rsidR="00534992" w:rsidRDefault="00FA5B79">
      <w:pPr>
        <w:ind w:left="0" w:firstLine="283"/>
      </w:pPr>
      <w:r>
        <w:t>1.2.</w:t>
      </w:r>
      <w:r>
        <w:rPr>
          <w:rFonts w:ascii="Arial" w:eastAsia="Arial" w:hAnsi="Arial" w:cs="Arial"/>
        </w:rPr>
        <w:t xml:space="preserve"> </w:t>
      </w:r>
      <w:r>
        <w:t>Цель настоящих методических рекомендаций (далее – Методические рекомендации) – повышение эффективности информационной работы</w:t>
      </w:r>
      <w:r>
        <w:t xml:space="preserve"> образовательных и научных организаций по информированию населения о возможностях </w:t>
      </w:r>
      <w:r>
        <w:rPr>
          <w:b/>
        </w:rPr>
        <w:t>сервиса «Поступление в вуз онлайн»</w:t>
      </w:r>
      <w:r>
        <w:t xml:space="preserve">. </w:t>
      </w:r>
    </w:p>
    <w:p w:rsidR="00534992" w:rsidRDefault="00FA5B79">
      <w:pPr>
        <w:ind w:left="0" w:firstLine="283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Методические рекомендации предназначены для руководителей, специалистов </w:t>
      </w:r>
      <w:r>
        <w:t xml:space="preserve">по связям с общественностью, пресс-секретарей, руководителей и сотрудников </w:t>
      </w:r>
      <w:r>
        <w:t xml:space="preserve">пресс-служб или служб внешних связей и коммуникаций образовательных и научных организаций.  </w:t>
      </w:r>
    </w:p>
    <w:p w:rsidR="00534992" w:rsidRDefault="00FA5B79">
      <w:pPr>
        <w:ind w:left="0" w:firstLine="283"/>
      </w:pPr>
      <w:r>
        <w:t xml:space="preserve">Методические рекомендации базируются на следующих законодательных </w:t>
      </w:r>
      <w:r>
        <w:t>и нормативно-правовых актах, учитывающих в том числе право граждан на получение</w:t>
      </w:r>
      <w:r>
        <w:t xml:space="preserve"> информации о деятельности государственных органов, организаций и предприятий: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t>Указ Президента Российской Федерации от 31 декабря 1993 г. № 2334</w:t>
      </w:r>
      <w:r>
        <w:t xml:space="preserve"> «О дополнительных гарантиях прав граждан на информацию»;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t>Федеральный закон от 27 июля 2006 г. № 149-ФЗ «Об и</w:t>
      </w:r>
      <w:r>
        <w:t>нформации, информационных технологиях и о защите информации»;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t xml:space="preserve">Федеральный закон от 9 февраля 2009 г. № 8-ФЗ «Об обеспечении доступа </w:t>
      </w:r>
      <w:r>
        <w:t>к информации о деятельности государственных органов и органов местного самоуправления»;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t>Федеральный закон от 14 июля 2022 г.  № 270-ФЗ «О внесении изменений</w:t>
      </w:r>
      <w:r>
        <w:t xml:space="preserve">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</w:t>
      </w:r>
      <w:r>
        <w:t xml:space="preserve"> к информации о деятельности судов в Российской Федерации»;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t>Федеральный закон от 23 августа 1996 г. № 127-ФЗ (ред. от 8 августа 2024 г.)  «О науке и государственной научно-технической политике».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293"/>
      </w:pPr>
      <w:r>
        <w:t>1.4.</w:t>
      </w:r>
      <w:r>
        <w:rPr>
          <w:rFonts w:ascii="Arial" w:eastAsia="Arial" w:hAnsi="Arial" w:cs="Arial"/>
        </w:rPr>
        <w:t xml:space="preserve"> </w:t>
      </w:r>
      <w:r>
        <w:t>Основные понятия, используемые в Методических рекоменд</w:t>
      </w:r>
      <w:r>
        <w:t xml:space="preserve">ациях. </w:t>
      </w:r>
    </w:p>
    <w:p w:rsidR="00534992" w:rsidRDefault="00FA5B79">
      <w:pPr>
        <w:numPr>
          <w:ilvl w:val="0"/>
          <w:numId w:val="1"/>
        </w:numPr>
        <w:ind w:hanging="360"/>
      </w:pPr>
      <w:r>
        <w:rPr>
          <w:b/>
        </w:rPr>
        <w:t xml:space="preserve">Сервис «Поступление в вуз онлайн» </w:t>
      </w:r>
      <w:r>
        <w:t>(далее – Сервис)</w:t>
      </w:r>
      <w:r>
        <w:rPr>
          <w:b/>
        </w:rPr>
        <w:t xml:space="preserve"> </w:t>
      </w:r>
      <w:r>
        <w:t xml:space="preserve">– это государственный сервис, который помогает абитуриентам подать документы о приеме </w:t>
      </w:r>
      <w:r>
        <w:t>в образовательные и научные организации в электронном виде. Сервис находится  по адресу</w:t>
      </w:r>
      <w:hyperlink r:id="rId5">
        <w:r>
          <w:t xml:space="preserve"> </w:t>
        </w:r>
      </w:hyperlink>
      <w:hyperlink r:id="rId6">
        <w:r>
          <w:rPr>
            <w:color w:val="954F72"/>
          </w:rPr>
          <w:t>https://www.gosuslugi.ru/vuzonline</w:t>
        </w:r>
      </w:hyperlink>
      <w:hyperlink r:id="rId7">
        <w:r>
          <w:t>.</w:t>
        </w:r>
      </w:hyperlink>
      <w:r>
        <w:t xml:space="preserve"> В рамках приемной кампании 2025/26 учебного года в Сервисе участвуют все образов</w:t>
      </w:r>
      <w:r>
        <w:t xml:space="preserve">ательные и научные организации  и их филиалы, в том числе расположенные на новых территориях и территориях иностранных государств. При этом внесение условий приема в Сервис осуществляется для всех уровней высшего образования, при этом прием через портал </w:t>
      </w:r>
      <w:proofErr w:type="spellStart"/>
      <w:r>
        <w:t>Го</w:t>
      </w:r>
      <w:r>
        <w:t>суслуг</w:t>
      </w:r>
      <w:proofErr w:type="spellEnd"/>
      <w:r>
        <w:t xml:space="preserve"> возможен для программ магистратуры, специализированного высшего образования и аспирантуры. Кроме того, вузы и научные организации смогут принимать заявления по программам среднего профессионального образования (СПО) с использованием Сервиса.   </w:t>
      </w:r>
    </w:p>
    <w:p w:rsidR="00534992" w:rsidRDefault="00FA5B79">
      <w:pPr>
        <w:ind w:left="730"/>
      </w:pPr>
      <w:r>
        <w:t>Осно</w:t>
      </w:r>
      <w:r>
        <w:t>вными изменениями функционала в этом году стали: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2"/>
        </w:numPr>
        <w:ind w:hanging="283"/>
      </w:pPr>
      <w:r>
        <w:t xml:space="preserve">расширение уровней образования;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2"/>
        </w:numPr>
        <w:ind w:hanging="283"/>
      </w:pPr>
      <w:r>
        <w:t xml:space="preserve">оптимизация систем с учетом изменений порядков приема;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2"/>
        </w:numPr>
        <w:ind w:hanging="283"/>
      </w:pPr>
      <w:r>
        <w:t>переход от подачи оригиналов к подаче согласия на зачисление,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2"/>
        </w:numPr>
        <w:ind w:hanging="283"/>
      </w:pPr>
      <w:r>
        <w:t xml:space="preserve">формирование списка лиц, подавших документы, на стороне Сервиса;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2"/>
        </w:numPr>
        <w:ind w:hanging="283"/>
      </w:pPr>
      <w:r>
        <w:lastRenderedPageBreak/>
        <w:t xml:space="preserve">публикация конкурсных списков в открытом доступе (без авторизации);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2"/>
        </w:numPr>
        <w:ind w:hanging="283"/>
      </w:pPr>
      <w:r>
        <w:t xml:space="preserve">обязательность указания образовательной программы при формировании конкурсов.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rPr>
          <w:b/>
        </w:rPr>
        <w:t>Информационное сопровождени</w:t>
      </w:r>
      <w:r>
        <w:t>е – это комп</w:t>
      </w:r>
      <w:r>
        <w:t>лекс организационных, технических, редакторских и других мероприятий, направленных на своевременное, объективное, беспристрастное и достоверное отражение результатов деятельности, а также наиболее значимых событий организаций.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proofErr w:type="spellStart"/>
      <w:r>
        <w:rPr>
          <w:b/>
        </w:rPr>
        <w:t>Медийная</w:t>
      </w:r>
      <w:proofErr w:type="spellEnd"/>
      <w:r>
        <w:rPr>
          <w:b/>
        </w:rPr>
        <w:t xml:space="preserve"> активность (или </w:t>
      </w:r>
      <w:proofErr w:type="spellStart"/>
      <w:r>
        <w:rPr>
          <w:b/>
        </w:rPr>
        <w:t>мед</w:t>
      </w:r>
      <w:r>
        <w:rPr>
          <w:b/>
        </w:rPr>
        <w:t>иаактивность</w:t>
      </w:r>
      <w:proofErr w:type="spellEnd"/>
      <w:r>
        <w:rPr>
          <w:b/>
        </w:rPr>
        <w:t xml:space="preserve">) </w:t>
      </w:r>
      <w:r>
        <w:t xml:space="preserve">– распространение подготовленной информации через различные медиаканалы (телевидение, радио, печатные </w:t>
      </w:r>
      <w:r>
        <w:t>и цифровые СМИ, социальные сети).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rPr>
          <w:b/>
        </w:rPr>
        <w:t xml:space="preserve">Контент </w:t>
      </w:r>
      <w:r>
        <w:t>– любая информация, которую можно прочитать, прослушать</w:t>
      </w:r>
      <w:r>
        <w:t xml:space="preserve"> или просмотреть.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rPr>
          <w:b/>
        </w:rPr>
        <w:t xml:space="preserve">СМИ </w:t>
      </w:r>
      <w:r>
        <w:t>– средства массов</w:t>
      </w:r>
      <w:r>
        <w:t>ой информации: печатные издания, сетевые издания, радиоканалы, телеканалы, другие формы распространения массовой информации, подпадающие под действие Федерального закона «О средствах массовой информации».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rPr>
          <w:b/>
        </w:rPr>
        <w:t>СММ-ресурсы (SMM</w:t>
      </w:r>
      <w:r>
        <w:t xml:space="preserve"> – </w:t>
      </w:r>
      <w:proofErr w:type="spellStart"/>
      <w:r>
        <w:rPr>
          <w:b/>
        </w:rPr>
        <w:t>Social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Media</w:t>
      </w:r>
      <w:proofErr w:type="spellEnd"/>
      <w:r>
        <w:rPr>
          <w:b/>
        </w:rPr>
        <w:t xml:space="preserve">) </w:t>
      </w:r>
      <w:r>
        <w:t>– социальные</w:t>
      </w:r>
      <w:r>
        <w:t xml:space="preserve"> медиа, виды массовой коммуникации посредством интернета: сайты, социальные сети, мессенджеры, контентные и блог-платформы, видео-хостинги, мобильные приложения.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proofErr w:type="spellStart"/>
      <w:r>
        <w:rPr>
          <w:b/>
        </w:rPr>
        <w:t>Инфоповод</w:t>
      </w:r>
      <w:proofErr w:type="spellEnd"/>
      <w:r>
        <w:t xml:space="preserve"> – это факт или событие, представляющее интерес для широкой аудитории, которые могут</w:t>
      </w:r>
      <w:r>
        <w:t xml:space="preserve"> служить поводом для публикации в СМИ или СММ.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rPr>
          <w:b/>
        </w:rPr>
        <w:t xml:space="preserve">Пресс-релиз (релиз) </w:t>
      </w:r>
      <w:r>
        <w:t>– официальное сообщение, передаваемое для распространения в СМИ или СММ.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r>
        <w:rPr>
          <w:b/>
        </w:rPr>
        <w:t xml:space="preserve">Рекламная кампания </w:t>
      </w:r>
      <w:r>
        <w:t>– это комплекс мероприятий, объединённых одной идеей</w:t>
      </w:r>
      <w:r>
        <w:t xml:space="preserve"> и направленных на достижение поставленных</w:t>
      </w:r>
      <w:r>
        <w:t xml:space="preserve"> целей, например, привлечение целевой аудитории, повышение узнаваемости и так далее.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"/>
        </w:numPr>
        <w:ind w:hanging="360"/>
      </w:pPr>
      <w:proofErr w:type="spellStart"/>
      <w:r>
        <w:rPr>
          <w:b/>
        </w:rPr>
        <w:t>Таймлайн</w:t>
      </w:r>
      <w:proofErr w:type="spellEnd"/>
      <w:r>
        <w:rPr>
          <w:b/>
        </w:rPr>
        <w:t xml:space="preserve"> </w:t>
      </w:r>
      <w:r>
        <w:t xml:space="preserve">– это временная шкала, визуальное представление событий </w:t>
      </w:r>
      <w:r>
        <w:t>в хронологическом порядке.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pStyle w:val="1"/>
        <w:ind w:right="2"/>
      </w:pPr>
      <w:r>
        <w:t>2. Основные принципы организации пресс-службы организации</w:t>
      </w:r>
      <w:r>
        <w:rPr>
          <w:rFonts w:ascii="Arial" w:eastAsia="Arial" w:hAnsi="Arial" w:cs="Arial"/>
          <w:b w:val="0"/>
          <w:sz w:val="20"/>
        </w:rPr>
        <w:t xml:space="preserve"> </w:t>
      </w:r>
    </w:p>
    <w:p w:rsidR="00534992" w:rsidRDefault="00FA5B79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283"/>
      </w:pPr>
      <w:r>
        <w:t xml:space="preserve">2.1. Ответственным за информационное сопровождение в организации </w:t>
      </w:r>
      <w:proofErr w:type="gramStart"/>
      <w:r>
        <w:t>может быть</w:t>
      </w:r>
      <w:proofErr w:type="gramEnd"/>
      <w:r>
        <w:t xml:space="preserve"> как отдельный сотрудник (пресс-секретарь, специалист по связям с общественностью и т.д.), так и целое подразделение (пресс-служба, отдел внешних коммуникаций и связей</w:t>
      </w:r>
      <w:r>
        <w:t xml:space="preserve"> с общественн</w:t>
      </w:r>
      <w:r>
        <w:t xml:space="preserve">остью и т.д.). В любом случае необходимо придерживаться принципа «одного окна», когда все контакты с журналистами или другими потребителями информации выстраиваются через одного человека или подразделение (далее – </w:t>
      </w:r>
      <w:r>
        <w:rPr>
          <w:b/>
        </w:rPr>
        <w:t>пресс-служба</w:t>
      </w:r>
      <w:r>
        <w:t>).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283"/>
      </w:pPr>
      <w:r>
        <w:t>2.2. Пресс-служба выполняе</w:t>
      </w:r>
      <w:r>
        <w:t>т роль связующего звена между руководством</w:t>
      </w:r>
      <w:r>
        <w:t xml:space="preserve"> и сотрудниками организации, с одной стороны, и </w:t>
      </w:r>
      <w:proofErr w:type="gramStart"/>
      <w:r>
        <w:t>общественностью</w:t>
      </w:r>
      <w:proofErr w:type="gramEnd"/>
      <w:r>
        <w:t xml:space="preserve"> и СМИ – с другой. Сведения, предоставляемые пресс-службой (также, как и информация, исходящая</w:t>
      </w:r>
      <w:r>
        <w:t xml:space="preserve"> от руководства организации), считаются официальными. П</w:t>
      </w:r>
      <w:r>
        <w:t xml:space="preserve">оэтому все данные, содержащиеся в пресс-релизах и других документах, составляемых и распространяемых пресс-службой, должны быть тщательно проверены и согласованы с руководством </w:t>
      </w:r>
      <w:r>
        <w:t>и ключевыми фигурами, упоминаемыми в сообщении.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283"/>
      </w:pPr>
      <w:r>
        <w:t>2.3. Основные процессы, котор</w:t>
      </w:r>
      <w:r>
        <w:t>ые сопровождает пресс-служба в информационной работе: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3"/>
        </w:numPr>
        <w:ind w:hanging="360"/>
      </w:pPr>
      <w:r>
        <w:t xml:space="preserve">ведение сайта организации, ее страниц в </w:t>
      </w:r>
      <w:proofErr w:type="spellStart"/>
      <w:r>
        <w:t>соцсетях</w:t>
      </w:r>
      <w:proofErr w:type="spellEnd"/>
      <w:r>
        <w:t xml:space="preserve">, блогов на соответствующих платформах (например, «Дзен») и каналов в мессенджерах;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3"/>
        </w:numPr>
        <w:ind w:hanging="360"/>
      </w:pPr>
      <w:r>
        <w:lastRenderedPageBreak/>
        <w:t xml:space="preserve">продвижение информационного контента в интернете, </w:t>
      </w:r>
      <w:proofErr w:type="spellStart"/>
      <w:r>
        <w:t>соцсетях</w:t>
      </w:r>
      <w:proofErr w:type="spellEnd"/>
      <w:r>
        <w:t xml:space="preserve">, блогах </w:t>
      </w:r>
      <w:r>
        <w:t>и каналах партнеров;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3"/>
        </w:numPr>
        <w:ind w:hanging="360"/>
      </w:pPr>
      <w:r>
        <w:t>взаимодействие со СМИ;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3"/>
        </w:numPr>
        <w:ind w:hanging="360"/>
      </w:pPr>
      <w:r>
        <w:t>участие в мероприятиях (конференциях, форумах и т.д.) и организация собственных мероприятий.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1"/>
          <w:numId w:val="4"/>
        </w:numPr>
        <w:ind w:firstLine="283"/>
      </w:pPr>
      <w:r>
        <w:t>В соответствии с Федеральным законом от 14 июля 2022 г. № 270-ФЗ «О внесении изменений в Федеральный закон «Об обесп</w:t>
      </w:r>
      <w:r>
        <w:t>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государственные организации и подведомст</w:t>
      </w:r>
      <w:r>
        <w:t>венные им организации должны создавать и вести официальные страницы в социальных сетях, список которых утверждает Правительство Российской Федерации. На сегодняшний день в качестве таких социальных сетей определены «</w:t>
      </w:r>
      <w:proofErr w:type="spellStart"/>
      <w:r>
        <w:t>ВКонтакте</w:t>
      </w:r>
      <w:proofErr w:type="spellEnd"/>
      <w:r>
        <w:t>» (vk.com) и «Одноклассники» (o</w:t>
      </w:r>
      <w:r>
        <w:t xml:space="preserve">k.ru).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1"/>
          <w:numId w:val="4"/>
        </w:numPr>
        <w:ind w:firstLine="283"/>
      </w:pPr>
      <w:r>
        <w:t xml:space="preserve">Продвижением созданного информационного контента организации могут заниматься самостоятельно, либо пользоваться для этого услугами партнеров.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283" w:firstLine="0"/>
        <w:jc w:val="left"/>
      </w:pP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pStyle w:val="1"/>
      </w:pPr>
      <w:r>
        <w:t>3. Цели и задачи рекламной кампании Сервиса</w:t>
      </w:r>
      <w:r>
        <w:rPr>
          <w:rFonts w:ascii="Arial" w:eastAsia="Arial" w:hAnsi="Arial" w:cs="Arial"/>
          <w:b w:val="0"/>
          <w:sz w:val="20"/>
        </w:rPr>
        <w:t xml:space="preserve"> </w:t>
      </w:r>
    </w:p>
    <w:p w:rsidR="00534992" w:rsidRDefault="00FA5B79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293"/>
      </w:pPr>
      <w:r>
        <w:t>3.1. Главными целями рекламной кампании Сервиса являются: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5"/>
        </w:numPr>
        <w:ind w:hanging="360"/>
      </w:pPr>
      <w:r>
        <w:t xml:space="preserve">повышение осведомленности абитуриентов и их родителей о возможности подачи документов в вузы через портал </w:t>
      </w:r>
      <w:proofErr w:type="spellStart"/>
      <w:r>
        <w:t>Госуслуг</w:t>
      </w:r>
      <w:proofErr w:type="spellEnd"/>
      <w:r>
        <w:t xml:space="preserve"> посредством Сервиса, в том числе</w:t>
      </w:r>
      <w:r>
        <w:t xml:space="preserve"> на целевое обучение;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5"/>
        </w:numPr>
        <w:ind w:hanging="360"/>
      </w:pPr>
      <w:r>
        <w:t>донесение возможностей Сер</w:t>
      </w:r>
      <w:r>
        <w:t>виса до общественности;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5"/>
        </w:numPr>
        <w:ind w:hanging="360"/>
      </w:pPr>
      <w:r>
        <w:t>формирование позитивного и доверительного отношения общества к возможностям Сервиса;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5"/>
        </w:numPr>
        <w:ind w:hanging="360"/>
      </w:pPr>
      <w:r>
        <w:t xml:space="preserve">увеличение доли абитуриентов (числа заявок), поступающих с помощью Сервиса (через Единый портал государственных услуг (ЕПГУ).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283"/>
      </w:pPr>
      <w:r>
        <w:t>3.2.   Задачи инф</w:t>
      </w:r>
      <w:r>
        <w:t xml:space="preserve">ормационного сопровождения связаны с созданием и продвижением контента, способствующего достижению обозначенных целей. Важнейшим инструментом решения этих задач является </w:t>
      </w:r>
      <w:proofErr w:type="spellStart"/>
      <w:r>
        <w:t>медийная</w:t>
      </w:r>
      <w:proofErr w:type="spellEnd"/>
      <w:r>
        <w:t xml:space="preserve"> активность. </w:t>
      </w: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pStyle w:val="1"/>
        <w:ind w:right="1"/>
      </w:pPr>
      <w:r>
        <w:t>4. Целевая аудитория</w:t>
      </w:r>
      <w:r>
        <w:rPr>
          <w:rFonts w:ascii="Arial" w:eastAsia="Arial" w:hAnsi="Arial" w:cs="Arial"/>
          <w:b w:val="0"/>
          <w:sz w:val="20"/>
        </w:rPr>
        <w:t xml:space="preserve"> </w:t>
      </w:r>
    </w:p>
    <w:p w:rsidR="00534992" w:rsidRDefault="00FA5B79">
      <w:pPr>
        <w:spacing w:after="14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 </w:t>
      </w:r>
    </w:p>
    <w:p w:rsidR="00534992" w:rsidRDefault="00FA5B79">
      <w:pPr>
        <w:spacing w:after="55"/>
        <w:ind w:left="0" w:right="1324" w:firstLine="283"/>
      </w:pPr>
      <w:r>
        <w:t>4.1. Целевой аудиторией информационной кампании являются:</w:t>
      </w:r>
      <w:r>
        <w:rPr>
          <w:rFonts w:ascii="Arial" w:eastAsia="Arial" w:hAnsi="Arial" w:cs="Arial"/>
          <w:sz w:val="20"/>
        </w:rPr>
        <w:t xml:space="preserve"> </w:t>
      </w:r>
      <w:r>
        <w:t>Основная:</w:t>
      </w:r>
      <w:r>
        <w:rPr>
          <w:rFonts w:ascii="Arial" w:eastAsia="Arial" w:hAnsi="Arial" w:cs="Arial"/>
        </w:rPr>
        <w:t xml:space="preserve"> </w:t>
      </w:r>
    </w:p>
    <w:p w:rsidR="00534992" w:rsidRDefault="00FA5B79">
      <w:pPr>
        <w:numPr>
          <w:ilvl w:val="0"/>
          <w:numId w:val="6"/>
        </w:numPr>
        <w:ind w:hanging="360"/>
      </w:pPr>
      <w:r>
        <w:t>ученики старших классов (10-11 классы), выпускники общеобразовательных организаций (школ</w:t>
      </w:r>
      <w:r>
        <w:rPr>
          <w:rFonts w:ascii="Arial" w:eastAsia="Arial" w:hAnsi="Arial" w:cs="Arial"/>
          <w:sz w:val="20"/>
        </w:rPr>
        <w:t xml:space="preserve">); </w:t>
      </w:r>
    </w:p>
    <w:p w:rsidR="00534992" w:rsidRDefault="00FA5B79">
      <w:pPr>
        <w:numPr>
          <w:ilvl w:val="0"/>
          <w:numId w:val="6"/>
        </w:numPr>
        <w:ind w:hanging="360"/>
      </w:pPr>
      <w:r>
        <w:t>потенциальные абитуриенты, планирующие поступление в высшие учебные заведения.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56"/>
      </w:pPr>
      <w:r>
        <w:t>Второстепенна</w:t>
      </w:r>
      <w:r>
        <w:t>я (заинтересованные лица):</w:t>
      </w:r>
      <w:r>
        <w:rPr>
          <w:rFonts w:ascii="Arial" w:eastAsia="Arial" w:hAnsi="Arial" w:cs="Arial"/>
        </w:rPr>
        <w:t xml:space="preserve"> </w:t>
      </w:r>
    </w:p>
    <w:p w:rsidR="00534992" w:rsidRDefault="00FA5B79">
      <w:pPr>
        <w:numPr>
          <w:ilvl w:val="0"/>
          <w:numId w:val="6"/>
        </w:numPr>
        <w:ind w:hanging="360"/>
      </w:pPr>
      <w:r>
        <w:t>родители (законные представители) абитуриентов;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6"/>
        </w:numPr>
        <w:ind w:hanging="360"/>
      </w:pPr>
      <w:r>
        <w:t>педагогические работники общеобразовательных организаций (</w:t>
      </w:r>
      <w:proofErr w:type="spellStart"/>
      <w:r>
        <w:t>учителяпредметники</w:t>
      </w:r>
      <w:proofErr w:type="spellEnd"/>
      <w:r>
        <w:t>, классные руководители).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283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pStyle w:val="1"/>
        <w:ind w:right="6"/>
      </w:pPr>
      <w:r>
        <w:t>5. Основные каналы распространения информации</w:t>
      </w:r>
      <w:r>
        <w:rPr>
          <w:rFonts w:ascii="Arial" w:eastAsia="Arial" w:hAnsi="Arial" w:cs="Arial"/>
          <w:b w:val="0"/>
          <w:sz w:val="20"/>
        </w:rPr>
        <w:t xml:space="preserve"> </w:t>
      </w:r>
    </w:p>
    <w:p w:rsidR="00534992" w:rsidRDefault="00FA5B7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283"/>
      </w:pPr>
      <w:r>
        <w:t xml:space="preserve">5.1. Организации могут </w:t>
      </w:r>
      <w:r>
        <w:t>сообщать о возможностях Сервиса через следующие каналы коммуникаций: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7"/>
        </w:numPr>
        <w:ind w:hanging="360"/>
      </w:pPr>
      <w:r>
        <w:t>Официальный сайт организации: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1"/>
          <w:numId w:val="7"/>
        </w:numPr>
        <w:ind w:hanging="286"/>
      </w:pPr>
      <w:r>
        <w:lastRenderedPageBreak/>
        <w:t xml:space="preserve">Раздел «Приемная комиссия»: создание отдельной страницы или блока </w:t>
      </w:r>
      <w:r>
        <w:t xml:space="preserve">с информацией о Сервисе с описанием преимуществ подачи документов через портал </w:t>
      </w:r>
      <w:proofErr w:type="spellStart"/>
      <w:r>
        <w:t>Госуслуг</w:t>
      </w:r>
      <w:proofErr w:type="spellEnd"/>
      <w:r>
        <w:t xml:space="preserve">, в том числе на целевое обучение, а именно удобство, экономия времени, прозрачность процесса.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1"/>
          <w:numId w:val="7"/>
        </w:numPr>
        <w:ind w:hanging="286"/>
      </w:pPr>
      <w:r>
        <w:t xml:space="preserve">Обязательное наличие </w:t>
      </w:r>
      <w:proofErr w:type="spellStart"/>
      <w:r>
        <w:t>кликабельной</w:t>
      </w:r>
      <w:proofErr w:type="spellEnd"/>
      <w:r>
        <w:t xml:space="preserve"> кнопки «</w:t>
      </w:r>
      <w:proofErr w:type="spellStart"/>
      <w:r>
        <w:t>Госуслуги</w:t>
      </w:r>
      <w:proofErr w:type="spellEnd"/>
      <w:r>
        <w:t>», обеспечивающей быс</w:t>
      </w:r>
      <w:r>
        <w:t xml:space="preserve">трый и удобный переход к подаче документов на портале </w:t>
      </w:r>
      <w:proofErr w:type="spellStart"/>
      <w:r>
        <w:t>Госуслуг</w:t>
      </w:r>
      <w:proofErr w:type="spellEnd"/>
      <w:r>
        <w:t xml:space="preserve">. Для более выразительной визуализации дополнительно можно использовать </w:t>
      </w:r>
      <w:proofErr w:type="spellStart"/>
      <w:r>
        <w:t>кликабельные</w:t>
      </w:r>
      <w:proofErr w:type="spellEnd"/>
      <w:r>
        <w:t xml:space="preserve"> баннеры.</w:t>
      </w:r>
      <w:r>
        <w:rPr>
          <w:rFonts w:ascii="Segoe UI" w:eastAsia="Segoe UI" w:hAnsi="Segoe UI" w:cs="Segoe UI"/>
          <w:sz w:val="20"/>
        </w:rPr>
        <w:t xml:space="preserve"> </w:t>
      </w:r>
      <w:r>
        <w:t>Материалы для скачивания доступны по ссылке:</w:t>
      </w:r>
      <w:hyperlink r:id="rId8">
        <w:r>
          <w:rPr>
            <w:rFonts w:ascii="Arial" w:eastAsia="Arial" w:hAnsi="Arial" w:cs="Arial"/>
            <w:sz w:val="20"/>
          </w:rPr>
          <w:t xml:space="preserve"> </w:t>
        </w:r>
      </w:hyperlink>
      <w:hyperlink r:id="rId9">
        <w:r>
          <w:rPr>
            <w:color w:val="0563C1"/>
            <w:u w:val="single" w:color="0563C1"/>
          </w:rPr>
          <w:t>https://clck.ru/3Mk5Mp</w:t>
        </w:r>
      </w:hyperlink>
      <w:hyperlink r:id="rId10">
        <w:r>
          <w:t>.</w:t>
        </w:r>
      </w:hyperlink>
      <w:r>
        <w:t xml:space="preserve"> </w:t>
      </w:r>
    </w:p>
    <w:p w:rsidR="00534992" w:rsidRDefault="00FA5B79">
      <w:pPr>
        <w:numPr>
          <w:ilvl w:val="0"/>
          <w:numId w:val="7"/>
        </w:numPr>
        <w:ind w:hanging="360"/>
      </w:pPr>
      <w:r>
        <w:t>Социальные сети: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8"/>
        </w:numPr>
        <w:ind w:hanging="286"/>
      </w:pPr>
      <w:r>
        <w:t>Постинг новостей: регулярные публикации в официальных аккаунтах организации в социальных сетях. Особое внимание уделяется простоте</w:t>
      </w:r>
      <w:r>
        <w:t xml:space="preserve"> и скорости подачи документов через Сервис. Форматы: посты (инструкции, советы, истории успеха, ответы на вопросы, отзывы студентов, конкуры </w:t>
      </w:r>
      <w:r>
        <w:t xml:space="preserve">и розыгрыши), </w:t>
      </w:r>
      <w:proofErr w:type="spellStart"/>
      <w:r>
        <w:t>сторис</w:t>
      </w:r>
      <w:proofErr w:type="spellEnd"/>
      <w:r>
        <w:t xml:space="preserve"> (анонсы, опросы, тесты), короткие видео-инструкции, подкасты. Также возможно использование го</w:t>
      </w:r>
      <w:r>
        <w:t xml:space="preserve">товых карточек-инструкций </w:t>
      </w:r>
      <w:hyperlink r:id="rId11">
        <w:r>
          <w:rPr>
            <w:color w:val="0563C1"/>
            <w:u w:val="single" w:color="0563C1"/>
          </w:rPr>
          <w:t>https://clck.ru/3MeL3M</w:t>
        </w:r>
      </w:hyperlink>
      <w:hyperlink r:id="rId12">
        <w:r>
          <w:t>.</w:t>
        </w:r>
      </w:hyperlink>
      <w:r>
        <w:t xml:space="preserve"> Обязательное использование призывов к действию</w:t>
      </w:r>
      <w:r>
        <w:rPr>
          <w:color w:val="FF0000"/>
        </w:rPr>
        <w:t xml:space="preserve">  </w:t>
      </w:r>
      <w:r>
        <w:t xml:space="preserve">и отслеживание комментариев.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8"/>
        </w:numPr>
        <w:ind w:hanging="286"/>
      </w:pPr>
      <w:r>
        <w:t>Публикация статей, советов и рекомендаций д</w:t>
      </w:r>
      <w:r>
        <w:t xml:space="preserve">ля абитуриентов, использующих Сервис в социальных сетях у </w:t>
      </w:r>
      <w:proofErr w:type="spellStart"/>
      <w:r>
        <w:t>блогеров</w:t>
      </w:r>
      <w:proofErr w:type="spellEnd"/>
      <w:r>
        <w:t xml:space="preserve">. </w:t>
      </w:r>
    </w:p>
    <w:p w:rsidR="00534992" w:rsidRDefault="00FA5B79">
      <w:pPr>
        <w:numPr>
          <w:ilvl w:val="0"/>
          <w:numId w:val="8"/>
        </w:numPr>
        <w:ind w:hanging="286"/>
      </w:pPr>
      <w:proofErr w:type="spellStart"/>
      <w:r>
        <w:t>Таргетированная</w:t>
      </w:r>
      <w:proofErr w:type="spellEnd"/>
      <w:r>
        <w:t xml:space="preserve"> реклама: настройка рекламных кампаний в социальных сетях, направленных на потенциальных абитуриентов и их родителей  </w:t>
      </w:r>
    </w:p>
    <w:p w:rsidR="00534992" w:rsidRDefault="00FA5B79">
      <w:pPr>
        <w:ind w:left="1001"/>
      </w:pPr>
      <w:r>
        <w:t>(при возможности).</w:t>
      </w:r>
      <w:r>
        <w:rPr>
          <w:sz w:val="20"/>
        </w:rPr>
        <w:t xml:space="preserve"> </w:t>
      </w:r>
    </w:p>
    <w:p w:rsidR="00534992" w:rsidRDefault="00FA5B79">
      <w:pPr>
        <w:numPr>
          <w:ilvl w:val="0"/>
          <w:numId w:val="9"/>
        </w:numPr>
        <w:ind w:hanging="360"/>
      </w:pPr>
      <w:r>
        <w:t xml:space="preserve">Чат-боты в мессенджерах (VK </w:t>
      </w:r>
      <w:proofErr w:type="spellStart"/>
      <w:r>
        <w:t>Messe</w:t>
      </w:r>
      <w:r>
        <w:t>nger</w:t>
      </w:r>
      <w:proofErr w:type="spellEnd"/>
      <w:r>
        <w:t xml:space="preserve"> и др.). Автоматическая рассылка информации о Сервисе, ответы на вопросы и помощь в процессе подачи документов. </w:t>
      </w:r>
    </w:p>
    <w:p w:rsidR="00534992" w:rsidRDefault="00FA5B79">
      <w:pPr>
        <w:numPr>
          <w:ilvl w:val="0"/>
          <w:numId w:val="9"/>
        </w:numPr>
        <w:ind w:hanging="360"/>
      </w:pPr>
      <w:r>
        <w:t>Сайты и социальные сети партнеров. Размещение информации о Сервисе</w:t>
      </w:r>
      <w:r>
        <w:t xml:space="preserve"> на партнерских ресурсах. </w:t>
      </w:r>
    </w:p>
    <w:p w:rsidR="00534992" w:rsidRDefault="00FA5B79">
      <w:pPr>
        <w:numPr>
          <w:ilvl w:val="0"/>
          <w:numId w:val="9"/>
        </w:numPr>
        <w:ind w:hanging="360"/>
      </w:pPr>
      <w:r>
        <w:t>Участие в теле- и радиопередачах: выступления</w:t>
      </w:r>
      <w:r>
        <w:t xml:space="preserve"> представителей вуза в качестве экспертов по вопросам онлайн-поступления и преимуществ Сервиса. </w:t>
      </w:r>
    </w:p>
    <w:p w:rsidR="00534992" w:rsidRDefault="00FA5B79">
      <w:pPr>
        <w:numPr>
          <w:ilvl w:val="0"/>
          <w:numId w:val="9"/>
        </w:numPr>
        <w:ind w:hanging="360"/>
      </w:pPr>
      <w:r>
        <w:t>Школьные порталы и сайты: публикация информации о Сервисе на сайтах школ</w:t>
      </w:r>
      <w:r>
        <w:t xml:space="preserve"> и других образовательных учреждений. </w:t>
      </w:r>
    </w:p>
    <w:p w:rsidR="00534992" w:rsidRDefault="00FA5B79">
      <w:pPr>
        <w:numPr>
          <w:ilvl w:val="0"/>
          <w:numId w:val="9"/>
        </w:numPr>
        <w:ind w:hanging="360"/>
      </w:pPr>
      <w:r>
        <w:t xml:space="preserve">Прямые эфиры и </w:t>
      </w:r>
      <w:proofErr w:type="spellStart"/>
      <w:r>
        <w:t>вебинары</w:t>
      </w:r>
      <w:proofErr w:type="spellEnd"/>
      <w:r>
        <w:t xml:space="preserve">: проведение онлайн-встреч с абитуриентами </w:t>
      </w:r>
      <w:r>
        <w:t xml:space="preserve">и родителями, где подробно рассказывается о процессе поступления через Сервис, </w:t>
      </w:r>
      <w:r>
        <w:t>в том числе на целевое обучение.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Поисковая реклама (</w:t>
      </w:r>
      <w:proofErr w:type="spellStart"/>
      <w:r>
        <w:t>Яндекс.Директ</w:t>
      </w:r>
      <w:proofErr w:type="spellEnd"/>
      <w:r>
        <w:t xml:space="preserve">):  </w:t>
      </w:r>
    </w:p>
    <w:p w:rsidR="00534992" w:rsidRDefault="00FA5B79">
      <w:pPr>
        <w:numPr>
          <w:ilvl w:val="2"/>
          <w:numId w:val="12"/>
        </w:numPr>
        <w:ind w:hanging="283"/>
      </w:pPr>
      <w:r>
        <w:t xml:space="preserve">Ключевые слова: «поступление в вуз онлайн», «подать документы через </w:t>
      </w:r>
      <w:proofErr w:type="spellStart"/>
      <w:r>
        <w:t>Госуслуги</w:t>
      </w:r>
      <w:proofErr w:type="spellEnd"/>
      <w:r>
        <w:t xml:space="preserve">». </w:t>
      </w:r>
    </w:p>
    <w:p w:rsidR="00534992" w:rsidRDefault="00FA5B79">
      <w:pPr>
        <w:numPr>
          <w:ilvl w:val="2"/>
          <w:numId w:val="12"/>
        </w:numPr>
        <w:ind w:hanging="283"/>
      </w:pPr>
      <w:proofErr w:type="spellStart"/>
      <w:r>
        <w:t>Рет</w:t>
      </w:r>
      <w:r>
        <w:t>аргетинг</w:t>
      </w:r>
      <w:proofErr w:type="spellEnd"/>
      <w:r>
        <w:t xml:space="preserve"> для пользователей, посетивших сайт Сервиса.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9"/>
        </w:numPr>
        <w:ind w:hanging="360"/>
      </w:pPr>
      <w:r>
        <w:t>Видео-платформы (</w:t>
      </w:r>
      <w:proofErr w:type="spellStart"/>
      <w:r>
        <w:t>RuTube</w:t>
      </w:r>
      <w:proofErr w:type="spellEnd"/>
      <w:r>
        <w:t>):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11"/>
        </w:numPr>
        <w:ind w:hanging="283"/>
      </w:pPr>
      <w:r>
        <w:t xml:space="preserve">Форматы: </w:t>
      </w:r>
      <w:proofErr w:type="spellStart"/>
      <w:r>
        <w:t>прероллы</w:t>
      </w:r>
      <w:proofErr w:type="spellEnd"/>
      <w:r>
        <w:t xml:space="preserve"> и видеоролики с инструкциями.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11"/>
        </w:numPr>
        <w:ind w:hanging="283"/>
      </w:pPr>
      <w:r>
        <w:t xml:space="preserve">Контент: презентационные ролики и отзывы студентов. </w:t>
      </w:r>
    </w:p>
    <w:p w:rsidR="00534992" w:rsidRDefault="00FA5B79">
      <w:pPr>
        <w:numPr>
          <w:ilvl w:val="0"/>
          <w:numId w:val="9"/>
        </w:numPr>
        <w:ind w:hanging="360"/>
      </w:pPr>
      <w:r>
        <w:t xml:space="preserve">Раздаточные информационные материалы: </w:t>
      </w:r>
    </w:p>
    <w:p w:rsidR="00534992" w:rsidRDefault="00FA5B79">
      <w:pPr>
        <w:ind w:left="994" w:hanging="286"/>
      </w:pPr>
      <w:r>
        <w:rPr>
          <w:rFonts w:ascii="Arial" w:eastAsia="Arial" w:hAnsi="Arial" w:cs="Arial"/>
          <w:sz w:val="20"/>
        </w:rPr>
        <w:t xml:space="preserve">– </w:t>
      </w:r>
      <w:r>
        <w:t>Буклеты и брошюры: разработка п</w:t>
      </w:r>
      <w:r>
        <w:t xml:space="preserve">ечатной продукции с пошаговыми инструкциями по использованию Сервиса. Распространение среди абитуриентов на днях открытых дверей, школьных мероприятиях, информационных стойках, расположенных в ключевых местах университета (холлы, приемная комиссия), </w:t>
      </w:r>
      <w:r>
        <w:t>в пар</w:t>
      </w:r>
      <w:r>
        <w:t xml:space="preserve">тнерских организациях (школы, </w:t>
      </w:r>
      <w:proofErr w:type="spellStart"/>
      <w:r>
        <w:t>профориентационные</w:t>
      </w:r>
      <w:proofErr w:type="spellEnd"/>
      <w:r>
        <w:t xml:space="preserve"> центры), выездных мероприятиях (выставки, ярмарки образования), путем адресной </w:t>
      </w:r>
      <w:proofErr w:type="gramStart"/>
      <w:r>
        <w:t>рассылки  по</w:t>
      </w:r>
      <w:proofErr w:type="gramEnd"/>
      <w:r>
        <w:t xml:space="preserve"> почте (по запросу). Макеты для скачивания доступны по ссылке:</w:t>
      </w:r>
      <w:r>
        <w:rPr>
          <w:rFonts w:ascii="Arial" w:eastAsia="Arial" w:hAnsi="Arial" w:cs="Arial"/>
          <w:sz w:val="20"/>
        </w:rPr>
        <w:t xml:space="preserve"> </w:t>
      </w:r>
      <w:hyperlink r:id="rId13">
        <w:r>
          <w:rPr>
            <w:color w:val="0563C1"/>
            <w:u w:val="single" w:color="0563C1"/>
          </w:rPr>
          <w:t>https://clc</w:t>
        </w:r>
        <w:r>
          <w:rPr>
            <w:color w:val="0563C1"/>
            <w:u w:val="single" w:color="0563C1"/>
          </w:rPr>
          <w:t>k.ru/3Mk5Mp</w:t>
        </w:r>
      </w:hyperlink>
      <w:hyperlink r:id="rId14">
        <w:r>
          <w:t>.</w:t>
        </w:r>
      </w:hyperlink>
      <w:r>
        <w:t xml:space="preserve"> </w:t>
      </w:r>
    </w:p>
    <w:p w:rsidR="00534992" w:rsidRDefault="00FA5B79">
      <w:pPr>
        <w:numPr>
          <w:ilvl w:val="0"/>
          <w:numId w:val="9"/>
        </w:numPr>
        <w:ind w:hanging="360"/>
      </w:pPr>
      <w:proofErr w:type="spellStart"/>
      <w:r>
        <w:t>Видеоинструкции</w:t>
      </w:r>
      <w:proofErr w:type="spellEnd"/>
      <w:r>
        <w:t xml:space="preserve">:  </w:t>
      </w:r>
    </w:p>
    <w:p w:rsidR="00534992" w:rsidRDefault="00FA5B79">
      <w:pPr>
        <w:numPr>
          <w:ilvl w:val="3"/>
          <w:numId w:val="10"/>
        </w:numPr>
        <w:ind w:hanging="283"/>
      </w:pPr>
      <w:r>
        <w:lastRenderedPageBreak/>
        <w:t xml:space="preserve">Создание коротких видеороликов, объясняющих процесс подачи документов через Сервис. Размещение на сайте вуза (на странице Сервиса, в разделе «Приемная комиссия»), в социальных сетях, мессенджерах и </w:t>
      </w:r>
      <w:proofErr w:type="spellStart"/>
      <w:r>
        <w:t>видеохостингах</w:t>
      </w:r>
      <w:proofErr w:type="spellEnd"/>
      <w:r>
        <w:t xml:space="preserve"> (VK, </w:t>
      </w:r>
      <w:proofErr w:type="spellStart"/>
      <w:r>
        <w:t>Rutube</w:t>
      </w:r>
      <w:proofErr w:type="spellEnd"/>
      <w:r>
        <w:t xml:space="preserve"> и др.), на информационных экран</w:t>
      </w:r>
      <w:r>
        <w:t>ах, расположенных в вузе (</w:t>
      </w:r>
      <w:proofErr w:type="spellStart"/>
      <w:r>
        <w:t>медиафасад</w:t>
      </w:r>
      <w:proofErr w:type="spellEnd"/>
      <w:r>
        <w:t>, если имеется). Также можно воспользоваться готовыми видео, которые доступны для скачивания по ссылке:</w:t>
      </w:r>
      <w:hyperlink r:id="rId15">
        <w:r>
          <w:t xml:space="preserve"> </w:t>
        </w:r>
      </w:hyperlink>
      <w:hyperlink r:id="rId16">
        <w:r>
          <w:rPr>
            <w:color w:val="0563C1"/>
            <w:u w:val="single" w:color="0563C1"/>
          </w:rPr>
          <w:t>https://clck.ru/3Mk5Mp</w:t>
        </w:r>
      </w:hyperlink>
      <w:hyperlink r:id="rId17">
        <w:r>
          <w:t>.</w:t>
        </w:r>
      </w:hyperlink>
      <w:r>
        <w:rPr>
          <w:color w:val="FF0000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Информационные стойки/стенды:  </w:t>
      </w:r>
    </w:p>
    <w:p w:rsidR="00534992" w:rsidRDefault="00FA5B79">
      <w:pPr>
        <w:numPr>
          <w:ilvl w:val="3"/>
          <w:numId w:val="10"/>
        </w:numPr>
        <w:ind w:hanging="283"/>
      </w:pPr>
      <w:r>
        <w:t>Разработка дизайна и изготовление информационных стоек/стендов</w:t>
      </w:r>
      <w:r>
        <w:t xml:space="preserve"> с привлекательной визуализацией Сервиса, инструкциями по использованию </w:t>
      </w:r>
      <w:r>
        <w:t>и QR-кодами для быстрого перехода на сайт вуза и пор</w:t>
      </w:r>
      <w:r>
        <w:t xml:space="preserve">тал </w:t>
      </w:r>
      <w:proofErr w:type="spellStart"/>
      <w:r>
        <w:t>Госуслуг</w:t>
      </w:r>
      <w:proofErr w:type="spellEnd"/>
      <w:r>
        <w:t xml:space="preserve">. Размещение стоек/стендов в местах с высокой проходимостью (вестибюли, холлы, приемная комиссия).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Мероприятия: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3"/>
          <w:numId w:val="10"/>
        </w:numPr>
        <w:ind w:hanging="283"/>
      </w:pPr>
      <w:r>
        <w:t>Дни открытых дверей: организация специальных сессий, посвященных подаче документов через Сервис, в том числе на целевое обучение.</w:t>
      </w:r>
      <w:r>
        <w:t xml:space="preserve"> Демонстрация работы портала </w:t>
      </w:r>
      <w:proofErr w:type="spellStart"/>
      <w:r>
        <w:t>Госуслуг</w:t>
      </w:r>
      <w:proofErr w:type="spellEnd"/>
      <w:r>
        <w:t xml:space="preserve"> на практике. </w:t>
      </w:r>
    </w:p>
    <w:p w:rsidR="00534992" w:rsidRDefault="00FA5B79">
      <w:pPr>
        <w:numPr>
          <w:ilvl w:val="3"/>
          <w:numId w:val="10"/>
        </w:numPr>
        <w:ind w:hanging="283"/>
      </w:pPr>
      <w:proofErr w:type="spellStart"/>
      <w:r>
        <w:t>Профориентационные</w:t>
      </w:r>
      <w:proofErr w:type="spellEnd"/>
      <w:r>
        <w:t xml:space="preserve"> мероприятия в школах и колледжах. Проведение выездных презентаций и мастер-классов в школах и колледжах с демонстрацией работы Сервиса и ответами на вопросы учащихся. </w:t>
      </w:r>
    </w:p>
    <w:p w:rsidR="00534992" w:rsidRDefault="00FA5B79">
      <w:pPr>
        <w:numPr>
          <w:ilvl w:val="3"/>
          <w:numId w:val="10"/>
        </w:numPr>
        <w:ind w:hanging="283"/>
      </w:pPr>
      <w:r>
        <w:t>Мастер-классы: пр</w:t>
      </w:r>
      <w:r>
        <w:t xml:space="preserve">оведение мастер-классов для школьников и студентов колледжей, где демонстрируется работа с порталом </w:t>
      </w:r>
      <w:proofErr w:type="spellStart"/>
      <w:r>
        <w:t>Госуслуг</w:t>
      </w:r>
      <w:proofErr w:type="spellEnd"/>
      <w:r>
        <w:t xml:space="preserve"> и Сервисом. </w:t>
      </w:r>
      <w:r>
        <w:rPr>
          <w:rFonts w:ascii="Arial" w:eastAsia="Arial" w:hAnsi="Arial" w:cs="Arial"/>
          <w:sz w:val="20"/>
        </w:rPr>
        <w:t xml:space="preserve">– </w:t>
      </w:r>
      <w:r>
        <w:t xml:space="preserve">Другими доступными способами. </w:t>
      </w:r>
    </w:p>
    <w:p w:rsidR="00534992" w:rsidRDefault="00FA5B79">
      <w:pPr>
        <w:ind w:left="0" w:firstLine="283"/>
      </w:pPr>
      <w:r>
        <w:t>5.2.   Выбор канала продвижения определяет формат, который необходимо учитывать при подготовке контент</w:t>
      </w:r>
      <w:r>
        <w:t xml:space="preserve">а. Наиболее распространенные форматы информационных сообщений — новость, </w:t>
      </w:r>
      <w:proofErr w:type="spellStart"/>
      <w:r>
        <w:t>лонгрид</w:t>
      </w:r>
      <w:proofErr w:type="spellEnd"/>
      <w:r>
        <w:t xml:space="preserve">, обзорная статья, аналитическая статья, интервью, репортаж, доклад, видео- и </w:t>
      </w:r>
      <w:proofErr w:type="spellStart"/>
      <w:r>
        <w:t>аудиосюжеты</w:t>
      </w:r>
      <w:proofErr w:type="spellEnd"/>
      <w:r>
        <w:t xml:space="preserve"> (подкасты), посты в </w:t>
      </w:r>
      <w:proofErr w:type="spellStart"/>
      <w:r>
        <w:t>соцсетях</w:t>
      </w:r>
      <w:proofErr w:type="spellEnd"/>
      <w:r>
        <w:t xml:space="preserve"> и прочих социальных медиа.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pStyle w:val="1"/>
        <w:ind w:right="6"/>
      </w:pPr>
      <w:r>
        <w:t xml:space="preserve">6. </w:t>
      </w:r>
      <w:proofErr w:type="spellStart"/>
      <w:r>
        <w:t>Таймлайн</w:t>
      </w:r>
      <w:proofErr w:type="spellEnd"/>
      <w:r>
        <w:t xml:space="preserve"> рекламной камп</w:t>
      </w:r>
      <w:r>
        <w:t>ании</w:t>
      </w:r>
      <w:r>
        <w:rPr>
          <w:rFonts w:ascii="Arial" w:eastAsia="Arial" w:hAnsi="Arial" w:cs="Arial"/>
          <w:b w:val="0"/>
          <w:sz w:val="20"/>
        </w:rPr>
        <w:t xml:space="preserve"> </w:t>
      </w:r>
    </w:p>
    <w:p w:rsidR="00534992" w:rsidRDefault="00FA5B79">
      <w:pPr>
        <w:spacing w:after="14" w:line="259" w:lineRule="auto"/>
        <w:ind w:left="283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293"/>
      </w:pPr>
      <w:r>
        <w:t>6.1. Подготовительный этап (1 месяц):</w:t>
      </w:r>
      <w:r>
        <w:rPr>
          <w:color w:val="FF000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>Разработка контента (видео, посты);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>Настройка рекламных кампаний в социальных сетях и поисковых системах.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40"/>
        <w:ind w:left="708" w:hanging="425"/>
      </w:pPr>
      <w:r>
        <w:t>6.2. Запуск кампании (1 месяц до начала периода подачи документов, май (июнь)</w:t>
      </w:r>
      <w:r>
        <w:t xml:space="preserve"> 2025 года):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 xml:space="preserve">Активное </w:t>
      </w:r>
      <w:r>
        <w:t>продвижение на всех платформах;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Проведение мероприятий в школах.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534992" w:rsidRDefault="00FA5B79">
      <w:pPr>
        <w:spacing w:after="13" w:line="249" w:lineRule="auto"/>
        <w:ind w:left="293"/>
        <w:jc w:val="left"/>
      </w:pPr>
      <w:r>
        <w:rPr>
          <w:b/>
        </w:rPr>
        <w:t>Старт приемной кампании: 20 июня 2025 года</w:t>
      </w:r>
      <w:r>
        <w:rPr>
          <w:rFonts w:ascii="Arial" w:eastAsia="Arial" w:hAnsi="Arial" w:cs="Arial"/>
          <w:sz w:val="20"/>
        </w:rPr>
        <w:t xml:space="preserve">  </w:t>
      </w:r>
    </w:p>
    <w:p w:rsidR="00534992" w:rsidRDefault="00FA5B79">
      <w:pPr>
        <w:spacing w:after="14" w:line="259" w:lineRule="auto"/>
        <w:ind w:left="283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293"/>
      </w:pPr>
      <w:r>
        <w:t>6.3. Пик рекламной кампании (период подачи документов):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>Увеличение частоты публикаций;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>Проведение прямых эфиров с ответами на вопросы абитуриентов.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293"/>
      </w:pPr>
      <w:r>
        <w:t xml:space="preserve">6.4. Завершение рекламной кампании (после окончания периода подачи документов):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>Подведение итогов.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19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 </w:t>
      </w:r>
    </w:p>
    <w:p w:rsidR="00534992" w:rsidRDefault="00FA5B79">
      <w:pPr>
        <w:spacing w:after="13" w:line="249" w:lineRule="auto"/>
        <w:ind w:left="3305" w:right="401" w:hanging="2669"/>
        <w:jc w:val="left"/>
      </w:pPr>
      <w:r>
        <w:rPr>
          <w:b/>
        </w:rPr>
        <w:t>7. Рекомендации для школ по информированию школьников и родителей</w:t>
      </w:r>
      <w:bookmarkStart w:id="0" w:name="_GoBack"/>
      <w:bookmarkEnd w:id="0"/>
      <w:r>
        <w:rPr>
          <w:b/>
        </w:rPr>
        <w:t xml:space="preserve"> о возможностях Сервиса</w:t>
      </w: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1"/>
          <w:numId w:val="14"/>
        </w:numPr>
        <w:ind w:hanging="425"/>
      </w:pPr>
      <w:r>
        <w:lastRenderedPageBreak/>
        <w:t xml:space="preserve">Цель – обучение старшеклассников и их родителей практическим навыкам использования Сервиса. </w:t>
      </w:r>
    </w:p>
    <w:p w:rsidR="00534992" w:rsidRDefault="00FA5B79">
      <w:pPr>
        <w:numPr>
          <w:ilvl w:val="1"/>
          <w:numId w:val="14"/>
        </w:numPr>
        <w:ind w:hanging="425"/>
      </w:pPr>
      <w:r>
        <w:t xml:space="preserve">Сценарий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>Порядок информирования: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15"/>
        </w:numPr>
        <w:ind w:hanging="283"/>
      </w:pPr>
      <w:r>
        <w:t xml:space="preserve">Классный руководитель через классный и общий родительские чаты рассылает информацию о Сервисе, раскрывая его преимущества по сравнению </w:t>
      </w:r>
      <w:r>
        <w:t xml:space="preserve">с традиционной подачей документов. При этом демонстрирует статистику, подтверждающую популярность Сервиса среди абитуриентов.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2"/>
          <w:numId w:val="15"/>
        </w:numPr>
        <w:ind w:hanging="283"/>
      </w:pPr>
      <w:r>
        <w:t>В тех же чатах классный руководитель направляет видеоматериалы для просмотра. Ученики получают доступ к подготовл</w:t>
      </w:r>
      <w:r>
        <w:t xml:space="preserve">енным видеороликам, наглядно показывающим процесс регистрации на портале </w:t>
      </w:r>
      <w:proofErr w:type="spellStart"/>
      <w:r>
        <w:t>Госуслуг</w:t>
      </w:r>
      <w:proofErr w:type="spellEnd"/>
      <w:r>
        <w:t xml:space="preserve"> и подачи документов через Сервис.</w:t>
      </w:r>
      <w:r>
        <w:rPr>
          <w:color w:val="FF0000"/>
        </w:rPr>
        <w:t xml:space="preserve">  </w:t>
      </w:r>
    </w:p>
    <w:p w:rsidR="00534992" w:rsidRDefault="00FA5B79">
      <w:pPr>
        <w:numPr>
          <w:ilvl w:val="2"/>
          <w:numId w:val="15"/>
        </w:numPr>
        <w:ind w:hanging="283"/>
      </w:pPr>
      <w:r>
        <w:t>Обсуждение. Родители и ученики в чатах могут задать классному руководителю интересующие их вопросы о Сервисе и получить дополнительную информацию.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numPr>
          <w:ilvl w:val="0"/>
          <w:numId w:val="13"/>
        </w:numPr>
        <w:ind w:hanging="425"/>
      </w:pPr>
      <w:r>
        <w:t>Материалы: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994" w:hanging="286"/>
      </w:pPr>
      <w:r>
        <w:rPr>
          <w:rFonts w:ascii="Arial" w:eastAsia="Arial" w:hAnsi="Arial" w:cs="Arial"/>
          <w:sz w:val="20"/>
        </w:rPr>
        <w:t xml:space="preserve">– </w:t>
      </w:r>
      <w:r>
        <w:t>Материалы для использования в рамках информирования школьников  и родителей доступны для скачи</w:t>
      </w:r>
      <w:r>
        <w:t xml:space="preserve">вания по ссылке: </w:t>
      </w:r>
      <w:hyperlink r:id="rId18">
        <w:r>
          <w:rPr>
            <w:color w:val="0563C1"/>
            <w:u w:val="single" w:color="0563C1"/>
          </w:rPr>
          <w:t>https://clck.ru/3Mk5Mp</w:t>
        </w:r>
      </w:hyperlink>
      <w:hyperlink r:id="rId19">
        <w:r>
          <w:t>.</w:t>
        </w:r>
      </w:hyperlink>
      <w:r>
        <w:rPr>
          <w:color w:val="FF0000"/>
        </w:rPr>
        <w:t xml:space="preserve"> </w:t>
      </w:r>
    </w:p>
    <w:p w:rsidR="00534992" w:rsidRDefault="00FA5B79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pStyle w:val="1"/>
        <w:ind w:right="6"/>
      </w:pPr>
      <w:r>
        <w:t>8. Справочная информация о Сервисе</w:t>
      </w:r>
      <w:r>
        <w:rPr>
          <w:rFonts w:ascii="Arial" w:eastAsia="Arial" w:hAnsi="Arial" w:cs="Arial"/>
          <w:b w:val="0"/>
          <w:sz w:val="20"/>
        </w:rPr>
        <w:t xml:space="preserve"> </w:t>
      </w:r>
    </w:p>
    <w:p w:rsidR="00534992" w:rsidRDefault="00FA5B79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283"/>
      </w:pPr>
      <w:r>
        <w:t xml:space="preserve">8.1. </w:t>
      </w:r>
      <w:r>
        <w:rPr>
          <w:b/>
        </w:rPr>
        <w:t>Сервис «Поступление в вуз онлайн»</w:t>
      </w:r>
      <w:r>
        <w:t xml:space="preserve"> – это сервис, разработанный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</w:t>
      </w:r>
      <w:r>
        <w:t>инцифры</w:t>
      </w:r>
      <w:proofErr w:type="spellEnd"/>
      <w:r>
        <w:t xml:space="preserve"> России, </w:t>
      </w:r>
      <w:proofErr w:type="spellStart"/>
      <w:r>
        <w:t>Рособрнадзором</w:t>
      </w:r>
      <w:proofErr w:type="spellEnd"/>
      <w:r>
        <w:t xml:space="preserve"> и доступный на портале «</w:t>
      </w:r>
      <w:proofErr w:type="spellStart"/>
      <w:r>
        <w:t>Госуслуги</w:t>
      </w:r>
      <w:proofErr w:type="spellEnd"/>
      <w:r>
        <w:t>».  Он позволяет абитуриентам подавать документы в образовательные и научные организации без личного посещения. Абитуриент может подать заявление на бюджетное (в том числе целевое) и платное о</w:t>
      </w:r>
      <w:r>
        <w:t xml:space="preserve">бучение, очную, очно-заочную и заочную формы, на программы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>, в том числе на программы шести вузов-участников пилотного проекта по формированию новой системы высшего образования. С 2025 года функционал Сервиса расширился и появилас</w:t>
      </w:r>
      <w:r>
        <w:t xml:space="preserve">ь возможность подачи заявления на программы магистратуры и аспирантуры. Найти заказчика для поступления на целевое </w:t>
      </w:r>
      <w:proofErr w:type="gramStart"/>
      <w:r>
        <w:t>обучение  с</w:t>
      </w:r>
      <w:proofErr w:type="gramEnd"/>
      <w:r>
        <w:t xml:space="preserve"> 2024 года можно на портале «Работа в России» (</w:t>
      </w:r>
      <w:r>
        <w:rPr>
          <w:color w:val="1F6BC0"/>
        </w:rPr>
        <w:t>https://trudvsem.ru/information-pages/targeteducation</w:t>
      </w:r>
      <w:r>
        <w:t>).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708"/>
      </w:pPr>
      <w:r>
        <w:t>Чтобы подать документы чер</w:t>
      </w:r>
      <w:r>
        <w:t xml:space="preserve">ез Сервис, нужно завести и подтвердить учетную запись на портале </w:t>
      </w:r>
      <w:proofErr w:type="spellStart"/>
      <w:r>
        <w:t>Госуслуг</w:t>
      </w:r>
      <w:proofErr w:type="spellEnd"/>
      <w:r>
        <w:t>. После этого необходимо заполнить заявление,</w:t>
      </w:r>
      <w:r>
        <w:t xml:space="preserve"> для </w:t>
      </w:r>
      <w:proofErr w:type="spellStart"/>
      <w:r>
        <w:t>бакалавриата</w:t>
      </w:r>
      <w:proofErr w:type="spellEnd"/>
      <w:r>
        <w:t xml:space="preserve"> и </w:t>
      </w:r>
      <w:proofErr w:type="spellStart"/>
      <w:r>
        <w:t>специалитета</w:t>
      </w:r>
      <w:proofErr w:type="spellEnd"/>
      <w:r>
        <w:t xml:space="preserve"> выбрать не более 5 вузов и 5 направлений в каждом (конкурсных групп может быть больше), для магистратуры</w:t>
      </w:r>
      <w:r>
        <w:t xml:space="preserve"> и аспирантуры таких ограничений нет, отправить заявление и записаться на вступительные экзамены (если требуется). Отметим, что запись на вступительные экзамены по программам магистратуры и аспирантуры осуществляет образовательная или научная организация. </w:t>
      </w:r>
      <w:r>
        <w:t>По целевой квоте можно выбрать лишь 1 конкурс и 1 заказчика среди всех вузов. Абитуриенту предоставляется возможность до конца срока подачи документов изменить или отозвать заявление.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tabs>
          <w:tab w:val="center" w:pos="788"/>
          <w:tab w:val="center" w:pos="1516"/>
          <w:tab w:val="center" w:pos="2718"/>
          <w:tab w:val="center" w:pos="4337"/>
          <w:tab w:val="center" w:pos="5742"/>
          <w:tab w:val="center" w:pos="7144"/>
          <w:tab w:val="center" w:pos="8325"/>
          <w:tab w:val="right" w:pos="9359"/>
        </w:tabs>
        <w:spacing w:after="0" w:line="259" w:lineRule="auto"/>
        <w:ind w:left="0" w:right="-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 </w:t>
      </w:r>
      <w:r>
        <w:tab/>
        <w:t xml:space="preserve">более </w:t>
      </w:r>
      <w:r>
        <w:tab/>
        <w:t xml:space="preserve">подробной </w:t>
      </w:r>
      <w:r>
        <w:tab/>
        <w:t xml:space="preserve">информацией </w:t>
      </w:r>
      <w:r>
        <w:tab/>
        <w:t xml:space="preserve">можно </w:t>
      </w:r>
      <w:r>
        <w:tab/>
        <w:t xml:space="preserve">ознакомиться </w:t>
      </w:r>
      <w:r>
        <w:tab/>
        <w:t xml:space="preserve">на </w:t>
      </w:r>
      <w:r>
        <w:tab/>
        <w:t xml:space="preserve">сайте </w:t>
      </w:r>
    </w:p>
    <w:p w:rsidR="00534992" w:rsidRDefault="00FA5B79">
      <w:pPr>
        <w:spacing w:after="0" w:line="259" w:lineRule="auto"/>
        <w:ind w:left="0" w:firstLine="0"/>
        <w:jc w:val="left"/>
      </w:pPr>
      <w:hyperlink r:id="rId20">
        <w:r>
          <w:rPr>
            <w:color w:val="954F72"/>
          </w:rPr>
          <w:t>https://www.gosuslugi.ru/vuzonline</w:t>
        </w:r>
      </w:hyperlink>
      <w:hyperlink r:id="rId21">
        <w:r>
          <w:rPr>
            <w:rFonts w:ascii="Arial" w:eastAsia="Arial" w:hAnsi="Arial" w:cs="Arial"/>
            <w:sz w:val="20"/>
          </w:rPr>
          <w:t xml:space="preserve"> </w:t>
        </w:r>
      </w:hyperlink>
    </w:p>
    <w:p w:rsidR="00534992" w:rsidRDefault="00FA5B79">
      <w:pPr>
        <w:spacing w:after="0" w:line="259" w:lineRule="auto"/>
        <w:ind w:right="-3"/>
        <w:jc w:val="right"/>
      </w:pPr>
      <w:r>
        <w:t xml:space="preserve">8.2. С целью повышения </w:t>
      </w:r>
      <w:proofErr w:type="spellStart"/>
      <w:r>
        <w:t>клиентоцентричности</w:t>
      </w:r>
      <w:proofErr w:type="spellEnd"/>
      <w:r>
        <w:t xml:space="preserve"> в рамках реализации сервиса </w:t>
      </w:r>
    </w:p>
    <w:p w:rsidR="00534992" w:rsidRDefault="00FA5B79">
      <w:r>
        <w:t>«Поступление в вуз» федерального проекта «</w:t>
      </w:r>
      <w:r>
        <w:t xml:space="preserve">Государство для людей» реализован </w:t>
      </w:r>
      <w:r>
        <w:rPr>
          <w:b/>
        </w:rPr>
        <w:t>сервис «Подбор вуза»,</w:t>
      </w:r>
      <w:r>
        <w:t xml:space="preserve"> который позволяет на едином источнике познакомиться с вузами, реализующими программы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 базового высшего образования, </w:t>
      </w:r>
      <w:r>
        <w:t xml:space="preserve">а также специальностями, на которые планируется прием. </w:t>
      </w:r>
      <w:r>
        <w:t xml:space="preserve"> На 1 этапе можно подобрать специальности, в том числе по предметам ЕГЭ (не по результатам), ознакомиться </w:t>
      </w:r>
      <w:r>
        <w:t xml:space="preserve">со статистикой приема прошлого года. 19 мая 2025 года запланирован запуск 2 этапа сервиса </w:t>
      </w:r>
      <w:r>
        <w:lastRenderedPageBreak/>
        <w:t>«Подбор вуза», в рамках которого можно будет подобрать спец</w:t>
      </w:r>
      <w:r>
        <w:t xml:space="preserve">иальности и вузы по результатам ЕГЭ, в едином окне увидеть конкурсы по программам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 и базового высшего образования 2025/26 учебного года. До конца года планируется реализовать возможности подбора специальностей по всем уровням высш</w:t>
      </w:r>
      <w:r>
        <w:t xml:space="preserve">его образования. 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ind w:left="0" w:firstLine="708"/>
      </w:pPr>
      <w:r>
        <w:t>Начиная с 20 июня на сервисе «Подбор вуза» будут публиковаться списки подавших заявления, а с 25 июля – конкурсные списки, что позволит абитуриентам отслеживать свою конкурсную ситуацию в едином формате в открытом доступе. Персональная и</w:t>
      </w:r>
      <w:r>
        <w:t>нформация для абитуриента будет доступна в личном кабинете сервиса «Поступай в вуз онлайн».</w:t>
      </w:r>
      <w:r>
        <w:rPr>
          <w:rFonts w:ascii="Arial" w:eastAsia="Arial" w:hAnsi="Arial" w:cs="Arial"/>
          <w:sz w:val="20"/>
        </w:rPr>
        <w:t xml:space="preserve"> </w:t>
      </w:r>
    </w:p>
    <w:p w:rsidR="00534992" w:rsidRDefault="00FA5B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34992" w:rsidRDefault="00FA5B79">
      <w:pPr>
        <w:spacing w:after="13" w:line="249" w:lineRule="auto"/>
        <w:ind w:left="-5"/>
        <w:jc w:val="left"/>
      </w:pPr>
      <w:r>
        <w:rPr>
          <w:b/>
        </w:rPr>
        <w:t xml:space="preserve">Единый контактный центр </w:t>
      </w:r>
      <w:proofErr w:type="spellStart"/>
      <w:r>
        <w:rPr>
          <w:b/>
        </w:rPr>
        <w:t>Минобрнауки</w:t>
      </w:r>
      <w:proofErr w:type="spellEnd"/>
      <w:r>
        <w:rPr>
          <w:b/>
        </w:rPr>
        <w:t xml:space="preserve"> России для поступающих 8 800 100-20-17</w:t>
      </w:r>
      <w:r>
        <w:t xml:space="preserve">. </w:t>
      </w:r>
    </w:p>
    <w:sectPr w:rsidR="00534992">
      <w:pgSz w:w="11906" w:h="16838"/>
      <w:pgMar w:top="1182" w:right="845" w:bottom="11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0F62"/>
    <w:multiLevelType w:val="hybridMultilevel"/>
    <w:tmpl w:val="9EACBA8A"/>
    <w:lvl w:ilvl="0" w:tplc="C70CA6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ED66A">
      <w:start w:val="1"/>
      <w:numFmt w:val="bullet"/>
      <w:lvlText w:val="o"/>
      <w:lvlJc w:val="left"/>
      <w:pPr>
        <w:ind w:left="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40A06">
      <w:start w:val="1"/>
      <w:numFmt w:val="bullet"/>
      <w:lvlText w:val="▪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5EE59A">
      <w:start w:val="1"/>
      <w:numFmt w:val="bullet"/>
      <w:lvlRestart w:val="0"/>
      <w:lvlText w:val="–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0778C">
      <w:start w:val="1"/>
      <w:numFmt w:val="bullet"/>
      <w:lvlText w:val="o"/>
      <w:lvlJc w:val="left"/>
      <w:pPr>
        <w:ind w:left="1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8EE852">
      <w:start w:val="1"/>
      <w:numFmt w:val="bullet"/>
      <w:lvlText w:val="▪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CE73A">
      <w:start w:val="1"/>
      <w:numFmt w:val="bullet"/>
      <w:lvlText w:val="•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C7AD2">
      <w:start w:val="1"/>
      <w:numFmt w:val="bullet"/>
      <w:lvlText w:val="o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846C0">
      <w:start w:val="1"/>
      <w:numFmt w:val="bullet"/>
      <w:lvlText w:val="▪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447F7"/>
    <w:multiLevelType w:val="hybridMultilevel"/>
    <w:tmpl w:val="162E39CE"/>
    <w:lvl w:ilvl="0" w:tplc="1B26CC98">
      <w:start w:val="1"/>
      <w:numFmt w:val="bullet"/>
      <w:lvlText w:val="–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42E3C">
      <w:start w:val="1"/>
      <w:numFmt w:val="bullet"/>
      <w:lvlText w:val="o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8A3964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5EC8F0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068C5E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B2B3A8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02FD62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6CDE0E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141A26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B00FFD"/>
    <w:multiLevelType w:val="hybridMultilevel"/>
    <w:tmpl w:val="FD60F752"/>
    <w:lvl w:ilvl="0" w:tplc="BC162E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E4720">
      <w:start w:val="1"/>
      <w:numFmt w:val="bullet"/>
      <w:lvlText w:val="o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2811C">
      <w:start w:val="1"/>
      <w:numFmt w:val="bullet"/>
      <w:lvlRestart w:val="0"/>
      <w:lvlText w:val="–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BE5AE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326D4A">
      <w:start w:val="1"/>
      <w:numFmt w:val="bullet"/>
      <w:lvlText w:val="o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005456">
      <w:start w:val="1"/>
      <w:numFmt w:val="bullet"/>
      <w:lvlText w:val="▪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266384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C7A0E">
      <w:start w:val="1"/>
      <w:numFmt w:val="bullet"/>
      <w:lvlText w:val="o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C7B9C">
      <w:start w:val="1"/>
      <w:numFmt w:val="bullet"/>
      <w:lvlText w:val="▪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34497B"/>
    <w:multiLevelType w:val="hybridMultilevel"/>
    <w:tmpl w:val="4D203758"/>
    <w:lvl w:ilvl="0" w:tplc="9EA6ED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AE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03F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AE3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4B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48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D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2A1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819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771FAC"/>
    <w:multiLevelType w:val="hybridMultilevel"/>
    <w:tmpl w:val="63D448C8"/>
    <w:lvl w:ilvl="0" w:tplc="A3CC6B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8AA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213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CCE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A51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A2C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698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1E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8D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97200"/>
    <w:multiLevelType w:val="multilevel"/>
    <w:tmpl w:val="559808A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3A6CCB"/>
    <w:multiLevelType w:val="hybridMultilevel"/>
    <w:tmpl w:val="0D40BC0A"/>
    <w:lvl w:ilvl="0" w:tplc="7C4624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2BE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A9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A9F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E5C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20DC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286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473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4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2D4503"/>
    <w:multiLevelType w:val="hybridMultilevel"/>
    <w:tmpl w:val="890AD86A"/>
    <w:lvl w:ilvl="0" w:tplc="ED2426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6A400">
      <w:start w:val="1"/>
      <w:numFmt w:val="bullet"/>
      <w:lvlText w:val="–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A538C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A14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C04C0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4C6DB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47FB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09A98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29C0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56405B"/>
    <w:multiLevelType w:val="hybridMultilevel"/>
    <w:tmpl w:val="69A20556"/>
    <w:lvl w:ilvl="0" w:tplc="32486C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0AFEF4">
      <w:start w:val="1"/>
      <w:numFmt w:val="bullet"/>
      <w:lvlText w:val="o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6AA34">
      <w:start w:val="1"/>
      <w:numFmt w:val="bullet"/>
      <w:lvlRestart w:val="0"/>
      <w:lvlText w:val="–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869E0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AE9BA8">
      <w:start w:val="1"/>
      <w:numFmt w:val="bullet"/>
      <w:lvlText w:val="o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94913E">
      <w:start w:val="1"/>
      <w:numFmt w:val="bullet"/>
      <w:lvlText w:val="▪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8EF28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2E2522">
      <w:start w:val="1"/>
      <w:numFmt w:val="bullet"/>
      <w:lvlText w:val="o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50E600">
      <w:start w:val="1"/>
      <w:numFmt w:val="bullet"/>
      <w:lvlText w:val="▪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C93281"/>
    <w:multiLevelType w:val="hybridMultilevel"/>
    <w:tmpl w:val="93B64654"/>
    <w:lvl w:ilvl="0" w:tplc="7D3014B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8EA0E">
      <w:start w:val="1"/>
      <w:numFmt w:val="bullet"/>
      <w:lvlText w:val="o"/>
      <w:lvlJc w:val="left"/>
      <w:pPr>
        <w:ind w:left="1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2F84C">
      <w:start w:val="1"/>
      <w:numFmt w:val="bullet"/>
      <w:lvlText w:val="▪"/>
      <w:lvlJc w:val="left"/>
      <w:pPr>
        <w:ind w:left="2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862EA">
      <w:start w:val="1"/>
      <w:numFmt w:val="bullet"/>
      <w:lvlText w:val="•"/>
      <w:lvlJc w:val="left"/>
      <w:pPr>
        <w:ind w:left="2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8268E">
      <w:start w:val="1"/>
      <w:numFmt w:val="bullet"/>
      <w:lvlText w:val="o"/>
      <w:lvlJc w:val="left"/>
      <w:pPr>
        <w:ind w:left="3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898EE">
      <w:start w:val="1"/>
      <w:numFmt w:val="bullet"/>
      <w:lvlText w:val="▪"/>
      <w:lvlJc w:val="left"/>
      <w:pPr>
        <w:ind w:left="4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2F2D8">
      <w:start w:val="1"/>
      <w:numFmt w:val="bullet"/>
      <w:lvlText w:val="•"/>
      <w:lvlJc w:val="left"/>
      <w:pPr>
        <w:ind w:left="4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C44C">
      <w:start w:val="1"/>
      <w:numFmt w:val="bullet"/>
      <w:lvlText w:val="o"/>
      <w:lvlJc w:val="left"/>
      <w:pPr>
        <w:ind w:left="5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E8D76">
      <w:start w:val="1"/>
      <w:numFmt w:val="bullet"/>
      <w:lvlText w:val="▪"/>
      <w:lvlJc w:val="left"/>
      <w:pPr>
        <w:ind w:left="6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98103F"/>
    <w:multiLevelType w:val="hybridMultilevel"/>
    <w:tmpl w:val="0834FC5C"/>
    <w:lvl w:ilvl="0" w:tplc="F47CE2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989CCC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2DBFC">
      <w:start w:val="1"/>
      <w:numFmt w:val="bullet"/>
      <w:lvlRestart w:val="0"/>
      <w:lvlText w:val="–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8910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0724E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E609E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D6833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88357E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CE59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5A7267"/>
    <w:multiLevelType w:val="hybridMultilevel"/>
    <w:tmpl w:val="5D946C84"/>
    <w:lvl w:ilvl="0" w:tplc="6F7C7C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ED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A3D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07F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CE7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8CF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4D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4CF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4B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737ECD"/>
    <w:multiLevelType w:val="multilevel"/>
    <w:tmpl w:val="87369F0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DA5D8C"/>
    <w:multiLevelType w:val="hybridMultilevel"/>
    <w:tmpl w:val="2CB4771E"/>
    <w:lvl w:ilvl="0" w:tplc="45288D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CF76E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72F6E0">
      <w:start w:val="1"/>
      <w:numFmt w:val="bullet"/>
      <w:lvlRestart w:val="0"/>
      <w:lvlText w:val="–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C814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2EE6E4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0FE14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70E342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881A38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BC9D3C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A02C6"/>
    <w:multiLevelType w:val="hybridMultilevel"/>
    <w:tmpl w:val="0B74DEDA"/>
    <w:lvl w:ilvl="0" w:tplc="F40AEC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C99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000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89E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A0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8F0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CE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E50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40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92"/>
    <w:rsid w:val="00534992"/>
    <w:rsid w:val="00AB64F2"/>
    <w:rsid w:val="00F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ABEE"/>
  <w15:docId w15:val="{AE8EE6B5-EC23-4796-82EA-A9308D3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Mk5Mp" TargetMode="External"/><Relationship Id="rId13" Type="http://schemas.openxmlformats.org/officeDocument/2006/relationships/hyperlink" Target="https://clck.ru/3Mk5Mp" TargetMode="External"/><Relationship Id="rId18" Type="http://schemas.openxmlformats.org/officeDocument/2006/relationships/hyperlink" Target="https://clck.ru/3Mk5M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vuzonline" TargetMode="External"/><Relationship Id="rId7" Type="http://schemas.openxmlformats.org/officeDocument/2006/relationships/hyperlink" Target="https://www.gosuslugi.ru/vuzonline" TargetMode="External"/><Relationship Id="rId12" Type="http://schemas.openxmlformats.org/officeDocument/2006/relationships/hyperlink" Target="https://clck.ru/3MeL3M" TargetMode="External"/><Relationship Id="rId17" Type="http://schemas.openxmlformats.org/officeDocument/2006/relationships/hyperlink" Target="https://clck.ru/3Mk5Mp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Mk5Mp" TargetMode="External"/><Relationship Id="rId20" Type="http://schemas.openxmlformats.org/officeDocument/2006/relationships/hyperlink" Target="https://www.gosuslugi.ru/vuzo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vuzonline" TargetMode="External"/><Relationship Id="rId11" Type="http://schemas.openxmlformats.org/officeDocument/2006/relationships/hyperlink" Target="https://clck.ru/3MeL3M" TargetMode="External"/><Relationship Id="rId5" Type="http://schemas.openxmlformats.org/officeDocument/2006/relationships/hyperlink" Target="https://www.gosuslugi.ru/vuzonline" TargetMode="External"/><Relationship Id="rId15" Type="http://schemas.openxmlformats.org/officeDocument/2006/relationships/hyperlink" Target="https://clck.ru/3Mk5M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ck.ru/3Mk5Mp" TargetMode="External"/><Relationship Id="rId19" Type="http://schemas.openxmlformats.org/officeDocument/2006/relationships/hyperlink" Target="https://clck.ru/3Mk5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Mk5Mp" TargetMode="External"/><Relationship Id="rId14" Type="http://schemas.openxmlformats.org/officeDocument/2006/relationships/hyperlink" Target="https://clck.ru/3Mk5M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2732</Words>
  <Characters>15574</Characters>
  <Application>Microsoft Office Word</Application>
  <DocSecurity>0</DocSecurity>
  <Lines>129</Lines>
  <Paragraphs>36</Paragraphs>
  <ScaleCrop>false</ScaleCrop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2025-07-08T02:54:00Z</dcterms:created>
  <dcterms:modified xsi:type="dcterms:W3CDTF">2025-07-08T04:10:00Z</dcterms:modified>
</cp:coreProperties>
</file>